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DF9" w:rsidRDefault="00AC4DF9" w:rsidP="00AC4DF9">
      <w:r>
        <w:t>SREDA, 8.4.2020</w:t>
      </w:r>
    </w:p>
    <w:p w:rsidR="00AC4DF9" w:rsidRDefault="00AC4DF9" w:rsidP="00AC4DF9">
      <w:pPr>
        <w:pStyle w:val="Odstavekseznama"/>
        <w:numPr>
          <w:ilvl w:val="0"/>
          <w:numId w:val="1"/>
        </w:numPr>
      </w:pPr>
      <w:r>
        <w:t>TJA</w:t>
      </w:r>
    </w:p>
    <w:p w:rsidR="00AC4DF9" w:rsidRDefault="00AC4DF9" w:rsidP="00AC4DF9">
      <w:pPr>
        <w:pStyle w:val="Odstavekseznama"/>
        <w:numPr>
          <w:ilvl w:val="0"/>
          <w:numId w:val="1"/>
        </w:numPr>
      </w:pPr>
      <w:r>
        <w:t>SLJ</w:t>
      </w:r>
    </w:p>
    <w:p w:rsidR="00AC4DF9" w:rsidRDefault="00C64BD6" w:rsidP="00AC4DF9">
      <w:pPr>
        <w:pStyle w:val="Odstavekseznama"/>
      </w:pPr>
      <w:r>
        <w:t>Najprej preveri svoje znanje na spodnji povezavi. Uživaj ob poslušanj</w:t>
      </w:r>
      <w:r w:rsidR="00714B5F">
        <w:t>u</w:t>
      </w:r>
      <w:bookmarkStart w:id="0" w:name="_GoBack"/>
      <w:bookmarkEnd w:id="0"/>
      <w:r>
        <w:t>, branju in reševanju.</w:t>
      </w:r>
    </w:p>
    <w:p w:rsidR="00C64BD6" w:rsidRDefault="00C64BD6" w:rsidP="00AC4DF9">
      <w:pPr>
        <w:pStyle w:val="Odstavekseznama"/>
      </w:pPr>
    </w:p>
    <w:p w:rsidR="00C64BD6" w:rsidRDefault="00714B5F" w:rsidP="00C64BD6">
      <w:pPr>
        <w:pStyle w:val="Odstavekseznama"/>
      </w:pPr>
      <w:hyperlink r:id="rId5" w:history="1">
        <w:r w:rsidR="00C64BD6">
          <w:rPr>
            <w:rStyle w:val="Hiperpovezava"/>
          </w:rPr>
          <w:t>https://www.youtube.com/watch?v=XmK3l1tcUjQ</w:t>
        </w:r>
      </w:hyperlink>
    </w:p>
    <w:p w:rsidR="00C64BD6" w:rsidRDefault="00C64BD6" w:rsidP="00C64BD6">
      <w:pPr>
        <w:pStyle w:val="Odstavekseznama"/>
      </w:pPr>
    </w:p>
    <w:p w:rsidR="00C64BD6" w:rsidRDefault="00C64BD6" w:rsidP="00C64BD6">
      <w:pPr>
        <w:pStyle w:val="Odstavekseznama"/>
        <w:numPr>
          <w:ilvl w:val="0"/>
          <w:numId w:val="1"/>
        </w:numPr>
      </w:pPr>
      <w:r>
        <w:t>SLJ</w:t>
      </w:r>
    </w:p>
    <w:p w:rsidR="00C64BD6" w:rsidRDefault="00C64BD6" w:rsidP="00C64BD6">
      <w:pPr>
        <w:pStyle w:val="Odstavekseznama"/>
      </w:pPr>
      <w:r>
        <w:t>Nova snov: Šolski jedilnik</w:t>
      </w:r>
    </w:p>
    <w:p w:rsidR="00C64BD6" w:rsidRDefault="00C64BD6" w:rsidP="00C64BD6">
      <w:pPr>
        <w:pStyle w:val="Odstavekseznama"/>
      </w:pPr>
      <w:r>
        <w:t>Preberi besedilo v DZ na str. 58 in 59. V besedilu najdeš jedilnik za malico in kosilo za cel teden. Prepričana sem, da razumeš, kaj je v besedilu napisano. Zanima me, ali si se kdaj vprašal, iz česa so: polbeli kruh (odg. iz polbele moke), korenčkova juha (odg. iz korenja), čokoladne kroglice (odg. iz čokolade) … Če malo obrnemo… Iz jabolka in zavitka lahko sestavimo jed jabolčni zavitek, iz vanilije in sladoleda lahko sestavimo jed vanilijev sladoled …</w:t>
      </w:r>
    </w:p>
    <w:p w:rsidR="00C64BD6" w:rsidRDefault="00C64BD6" w:rsidP="00C64BD6">
      <w:pPr>
        <w:pStyle w:val="Odstavekseznama"/>
      </w:pPr>
      <w:r>
        <w:t>V nadaljevanju boš našel podobne naloge. Reši vse naloge.</w:t>
      </w:r>
    </w:p>
    <w:p w:rsidR="00C64BD6" w:rsidRDefault="00C64BD6" w:rsidP="00C64BD6">
      <w:pPr>
        <w:pStyle w:val="Odstavekseznama"/>
      </w:pPr>
    </w:p>
    <w:p w:rsidR="00C64BD6" w:rsidRDefault="006446B4" w:rsidP="00C64BD6">
      <w:pPr>
        <w:pStyle w:val="Odstavekseznama"/>
        <w:numPr>
          <w:ilvl w:val="0"/>
          <w:numId w:val="1"/>
        </w:numPr>
      </w:pPr>
      <w:r>
        <w:t>MAT</w:t>
      </w:r>
    </w:p>
    <w:p w:rsidR="006446B4" w:rsidRDefault="006446B4" w:rsidP="006446B4">
      <w:pPr>
        <w:pStyle w:val="Odstavekseznama"/>
      </w:pPr>
      <w:r>
        <w:t>Ponovimo: Geometrijska telesa</w:t>
      </w:r>
    </w:p>
    <w:p w:rsidR="00433402" w:rsidRDefault="006446B4" w:rsidP="006446B4">
      <w:pPr>
        <w:pStyle w:val="Odstavekseznama"/>
      </w:pPr>
      <w:r>
        <w:t>Najprej naštej vsa geometrijska telesa, ki si jih spoznal pri prejšnji uri. Potem pa vsako telo opiši</w:t>
      </w:r>
      <w:r w:rsidR="00433402">
        <w:t xml:space="preserve"> na glas.</w:t>
      </w:r>
      <w:r>
        <w:t xml:space="preserve"> </w:t>
      </w:r>
    </w:p>
    <w:p w:rsidR="00433402" w:rsidRDefault="006446B4" w:rsidP="006446B4">
      <w:pPr>
        <w:pStyle w:val="Odstavekseznama"/>
      </w:pPr>
      <w:r>
        <w:t>(</w:t>
      </w:r>
      <w:r w:rsidR="00433402">
        <w:t>P</w:t>
      </w:r>
      <w:r>
        <w:t xml:space="preserve">rimer: kvader </w:t>
      </w:r>
      <w:r w:rsidR="00433402">
        <w:t xml:space="preserve">je geometrijsko telo, ki </w:t>
      </w:r>
      <w:r>
        <w:t>ima ___ ploskev, ___</w:t>
      </w:r>
      <w:r w:rsidR="00433402">
        <w:t xml:space="preserve"> robov, ____ oglišč …) </w:t>
      </w:r>
    </w:p>
    <w:p w:rsidR="006446B4" w:rsidRDefault="006446B4" w:rsidP="006446B4">
      <w:pPr>
        <w:pStyle w:val="Odstavekseznama"/>
      </w:pPr>
      <w:r>
        <w:t>Reši naloge v DZ na str.</w:t>
      </w:r>
      <w:r w:rsidR="00433402">
        <w:t xml:space="preserve"> 99, 100.</w:t>
      </w:r>
    </w:p>
    <w:p w:rsidR="00433402" w:rsidRDefault="00433402" w:rsidP="006446B4">
      <w:pPr>
        <w:pStyle w:val="Odstavekseznama"/>
      </w:pPr>
      <w:r>
        <w:t>Preberi še str. 101.</w:t>
      </w:r>
    </w:p>
    <w:p w:rsidR="00433402" w:rsidRDefault="00433402" w:rsidP="006446B4">
      <w:pPr>
        <w:pStyle w:val="Odstavekseznama"/>
      </w:pPr>
    </w:p>
    <w:p w:rsidR="00433402" w:rsidRDefault="00433402" w:rsidP="00433402">
      <w:pPr>
        <w:pStyle w:val="Odstavekseznama"/>
        <w:numPr>
          <w:ilvl w:val="0"/>
          <w:numId w:val="1"/>
        </w:numPr>
      </w:pPr>
      <w:r>
        <w:t>SPO</w:t>
      </w:r>
    </w:p>
    <w:p w:rsidR="00433402" w:rsidRDefault="00433402" w:rsidP="00433402">
      <w:pPr>
        <w:pStyle w:val="Odstavekseznama"/>
      </w:pPr>
      <w:r>
        <w:t>Ponovimo: Orientacija</w:t>
      </w:r>
    </w:p>
    <w:p w:rsidR="00433402" w:rsidRDefault="00433402" w:rsidP="00433402">
      <w:pPr>
        <w:pStyle w:val="Odstavekseznama"/>
      </w:pPr>
      <w:r>
        <w:t>V nadaljevanju je besedilo (Priloga1), v katerem je zapisano nekaj dejstev o orientaciji, ki si jih izvedel prejšnjo uro. List preberi, natisni in ga prilepi v zvezek.</w:t>
      </w:r>
    </w:p>
    <w:p w:rsidR="00433402" w:rsidRDefault="00433402" w:rsidP="00433402">
      <w:pPr>
        <w:pStyle w:val="Odstavekseznama"/>
      </w:pPr>
      <w:r>
        <w:t>Na spodnji povezavi si poglej, kako deluje kompas:</w:t>
      </w:r>
    </w:p>
    <w:p w:rsidR="00433402" w:rsidRDefault="00433402" w:rsidP="00433402">
      <w:pPr>
        <w:pStyle w:val="Odstavekseznama"/>
      </w:pPr>
    </w:p>
    <w:p w:rsidR="00433402" w:rsidRDefault="00714B5F" w:rsidP="00433402">
      <w:pPr>
        <w:pStyle w:val="Odstavekseznama"/>
      </w:pPr>
      <w:hyperlink r:id="rId6" w:history="1">
        <w:r w:rsidR="00433402">
          <w:rPr>
            <w:rStyle w:val="Hiperpovezava"/>
          </w:rPr>
          <w:t>https://www.youtube.com/watch?feature=youtu.be&amp;v=FzfZU26v4BQ&amp;app=desktop</w:t>
        </w:r>
      </w:hyperlink>
      <w:r w:rsidR="00433402">
        <w:t xml:space="preserve"> </w:t>
      </w:r>
    </w:p>
    <w:p w:rsidR="00433402" w:rsidRDefault="00433402" w:rsidP="00433402">
      <w:pPr>
        <w:pStyle w:val="Odstavekseznama"/>
      </w:pPr>
    </w:p>
    <w:p w:rsidR="00433402" w:rsidRDefault="00FC5BE7" w:rsidP="00433402">
      <w:pPr>
        <w:pStyle w:val="Odstavekseznama"/>
      </w:pPr>
      <w:r>
        <w:t xml:space="preserve">Če imaš možnost in razpoložljivi material, lahko sam izdelaš kompas. Če ti uspe, bom zelo vesela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V nadaljevanju je učni list (Priloga2), na katerem so navodila. List prilepi v zvezek.</w:t>
      </w:r>
    </w:p>
    <w:tbl>
      <w:tblPr>
        <w:tblW w:w="5000" w:type="pct"/>
        <w:tblCellSpacing w:w="15" w:type="dxa"/>
        <w:tblCellMar>
          <w:left w:w="0" w:type="dxa"/>
          <w:right w:w="0" w:type="dxa"/>
        </w:tblCellMar>
        <w:tblLook w:val="04A0" w:firstRow="1" w:lastRow="0" w:firstColumn="1" w:lastColumn="0" w:noHBand="0" w:noVBand="1"/>
      </w:tblPr>
      <w:tblGrid>
        <w:gridCol w:w="8841"/>
        <w:gridCol w:w="231"/>
      </w:tblGrid>
      <w:tr w:rsidR="00433402" w:rsidRPr="00433402" w:rsidTr="00007583">
        <w:trPr>
          <w:tblCellSpacing w:w="15" w:type="dxa"/>
        </w:trPr>
        <w:tc>
          <w:tcPr>
            <w:tcW w:w="0" w:type="auto"/>
            <w:tcMar>
              <w:top w:w="15" w:type="dxa"/>
              <w:left w:w="15" w:type="dxa"/>
              <w:bottom w:w="15" w:type="dxa"/>
              <w:right w:w="15" w:type="dxa"/>
            </w:tcMar>
            <w:hideMark/>
          </w:tcPr>
          <w:p w:rsidR="00433402" w:rsidRPr="00433402" w:rsidRDefault="00433402" w:rsidP="00007583">
            <w:pPr>
              <w:spacing w:after="240"/>
              <w:rPr>
                <w:rFonts w:ascii="Tahoma" w:hAnsi="Tahoma" w:cs="Tahoma"/>
                <w:b/>
                <w:bCs/>
                <w:sz w:val="21"/>
              </w:rPr>
            </w:pPr>
          </w:p>
          <w:p w:rsidR="00433402" w:rsidRPr="00433402" w:rsidRDefault="00433402" w:rsidP="00007583">
            <w:pPr>
              <w:spacing w:after="240"/>
              <w:rPr>
                <w:rFonts w:ascii="Tahoma" w:hAnsi="Tahoma" w:cs="Tahoma"/>
                <w:b/>
                <w:bCs/>
                <w:sz w:val="21"/>
              </w:rPr>
            </w:pPr>
          </w:p>
          <w:p w:rsidR="00433402" w:rsidRPr="00433402" w:rsidRDefault="00433402" w:rsidP="00007583">
            <w:pPr>
              <w:spacing w:after="240"/>
              <w:rPr>
                <w:rFonts w:ascii="Tahoma" w:hAnsi="Tahoma" w:cs="Tahoma"/>
                <w:b/>
                <w:bCs/>
                <w:sz w:val="21"/>
              </w:rPr>
            </w:pPr>
          </w:p>
          <w:p w:rsidR="00433402" w:rsidRPr="00433402" w:rsidRDefault="00433402" w:rsidP="00007583">
            <w:pPr>
              <w:spacing w:after="240"/>
              <w:rPr>
                <w:rFonts w:ascii="Tahoma" w:hAnsi="Tahoma" w:cs="Tahoma"/>
                <w:b/>
                <w:bCs/>
                <w:sz w:val="21"/>
              </w:rPr>
            </w:pPr>
          </w:p>
          <w:p w:rsidR="00433402" w:rsidRPr="00FC5BE7" w:rsidRDefault="00FC5BE7" w:rsidP="00007583">
            <w:pPr>
              <w:spacing w:after="240"/>
              <w:rPr>
                <w:rFonts w:ascii="Tahoma" w:hAnsi="Tahoma" w:cs="Tahoma"/>
                <w:sz w:val="21"/>
              </w:rPr>
            </w:pPr>
            <w:r w:rsidRPr="00FC5BE7">
              <w:rPr>
                <w:rFonts w:ascii="Tahoma" w:hAnsi="Tahoma" w:cs="Tahoma"/>
                <w:sz w:val="21"/>
              </w:rPr>
              <w:t>Ostanite zdravi</w:t>
            </w:r>
            <w:r>
              <w:rPr>
                <w:rFonts w:ascii="Tahoma" w:hAnsi="Tahoma" w:cs="Tahoma"/>
                <w:sz w:val="21"/>
              </w:rPr>
              <w:t xml:space="preserve"> </w:t>
            </w:r>
            <w:r w:rsidRPr="00FC5BE7">
              <w:rPr>
                <mc:AlternateContent>
                  <mc:Choice Requires="w16se">
                    <w:rFonts w:ascii="Tahoma" w:hAnsi="Tahoma" w:cs="Tahoma"/>
                  </mc:Choice>
                  <mc:Fallback>
                    <w:rFonts w:ascii="Segoe UI Emoji" w:eastAsia="Segoe UI Emoji" w:hAnsi="Segoe UI Emoji" w:cs="Segoe UI Emoji"/>
                  </mc:Fallback>
                </mc:AlternateContent>
                <w:sz w:val="21"/>
              </w:rPr>
              <mc:AlternateContent>
                <mc:Choice Requires="w16se">
                  <w16se:symEx w16se:font="Segoe UI Emoji" w16se:char="1F609"/>
                </mc:Choice>
                <mc:Fallback>
                  <w:t>😉</w:t>
                </mc:Fallback>
              </mc:AlternateContent>
            </w:r>
            <w:r w:rsidRPr="00FC5BE7">
              <w:rPr>
                <mc:AlternateContent>
                  <mc:Choice Requires="w16se">
                    <w:rFonts w:ascii="Tahoma" w:hAnsi="Tahoma" w:cs="Tahoma"/>
                  </mc:Choice>
                  <mc:Fallback>
                    <w:rFonts w:ascii="Segoe UI Emoji" w:eastAsia="Segoe UI Emoji" w:hAnsi="Segoe UI Emoji" w:cs="Segoe UI Emoji"/>
                  </mc:Fallback>
                </mc:AlternateContent>
                <w:sz w:val="21"/>
              </w:rPr>
              <mc:AlternateContent>
                <mc:Choice Requires="w16se">
                  <w16se:symEx w16se:font="Segoe UI Emoji" w16se:char="1F609"/>
                </mc:Choice>
                <mc:Fallback>
                  <w:t>😉</w:t>
                </mc:Fallback>
              </mc:AlternateContent>
            </w:r>
          </w:p>
          <w:p w:rsidR="00433402" w:rsidRPr="00433402" w:rsidRDefault="00433402" w:rsidP="00007583">
            <w:pPr>
              <w:spacing w:after="240"/>
              <w:rPr>
                <w:rFonts w:ascii="Tahoma" w:hAnsi="Tahoma" w:cs="Tahoma"/>
                <w:b/>
                <w:bCs/>
                <w:sz w:val="21"/>
              </w:rPr>
            </w:pPr>
          </w:p>
          <w:p w:rsidR="00FC5BE7" w:rsidRDefault="00FC5BE7" w:rsidP="00007583">
            <w:pPr>
              <w:spacing w:after="240"/>
              <w:rPr>
                <w:rFonts w:ascii="Tahoma" w:hAnsi="Tahoma" w:cs="Tahoma"/>
                <w:sz w:val="21"/>
              </w:rPr>
            </w:pPr>
          </w:p>
          <w:p w:rsidR="00433402" w:rsidRPr="00433402" w:rsidRDefault="00433402" w:rsidP="00007583">
            <w:pPr>
              <w:spacing w:after="240"/>
              <w:rPr>
                <w:rFonts w:ascii="Tahoma" w:hAnsi="Tahoma" w:cs="Tahoma"/>
                <w:sz w:val="21"/>
              </w:rPr>
            </w:pPr>
            <w:r w:rsidRPr="00433402">
              <w:rPr>
                <w:rFonts w:ascii="Tahoma" w:hAnsi="Tahoma" w:cs="Tahoma"/>
                <w:sz w:val="21"/>
              </w:rPr>
              <w:lastRenderedPageBreak/>
              <w:t>Priloga1</w:t>
            </w:r>
          </w:p>
          <w:p w:rsidR="00433402" w:rsidRPr="00433402" w:rsidRDefault="00433402" w:rsidP="00007583">
            <w:pPr>
              <w:spacing w:after="240"/>
              <w:rPr>
                <w:rFonts w:ascii="Tahoma" w:hAnsi="Tahoma" w:cs="Tahoma"/>
                <w:sz w:val="21"/>
                <w:szCs w:val="21"/>
              </w:rPr>
            </w:pPr>
            <w:r w:rsidRPr="00433402">
              <w:rPr>
                <w:rFonts w:ascii="Tahoma" w:hAnsi="Tahoma" w:cs="Tahoma"/>
                <w:b/>
                <w:bCs/>
                <w:sz w:val="21"/>
              </w:rPr>
              <w:t>ORIENTACIJA V NARAVI</w:t>
            </w:r>
          </w:p>
          <w:p w:rsidR="00433402" w:rsidRPr="00433402" w:rsidRDefault="00433402" w:rsidP="00007583">
            <w:pPr>
              <w:rPr>
                <w:rFonts w:ascii="Tahoma" w:hAnsi="Tahoma" w:cs="Tahoma"/>
                <w:sz w:val="21"/>
                <w:szCs w:val="21"/>
              </w:rPr>
            </w:pPr>
            <w:r w:rsidRPr="00433402">
              <w:rPr>
                <w:rFonts w:ascii="Tahoma" w:hAnsi="Tahoma" w:cs="Tahoma"/>
                <w:sz w:val="21"/>
                <w:szCs w:val="21"/>
              </w:rPr>
              <w:t>Orientacija pomeni določanje strani neba, določanje točke, kjer se nahajamo (stojna točka), in določanje smeri poti.</w:t>
            </w:r>
            <w:r w:rsidRPr="00433402">
              <w:rPr>
                <w:rFonts w:ascii="Tahoma" w:hAnsi="Tahoma" w:cs="Tahoma"/>
                <w:sz w:val="21"/>
                <w:szCs w:val="21"/>
              </w:rPr>
              <w:br/>
              <w:t>Strani neba najlaže določimo s kompasom.</w:t>
            </w:r>
            <w:r w:rsidRPr="00433402">
              <w:rPr>
                <w:rFonts w:ascii="Tahoma" w:hAnsi="Tahoma" w:cs="Tahoma"/>
                <w:sz w:val="21"/>
                <w:szCs w:val="21"/>
              </w:rPr>
              <w:br/>
            </w:r>
            <w:r w:rsidRPr="00433402">
              <w:rPr>
                <w:rFonts w:ascii="Tahoma" w:hAnsi="Tahoma" w:cs="Tahoma"/>
                <w:sz w:val="21"/>
                <w:szCs w:val="21"/>
              </w:rPr>
              <w:br/>
              <w:t xml:space="preserve">Tudi če nimamo kompasa, si lahko v naravi pomagamo na različne načine.  Podnevi si lahko pomagamo s </w:t>
            </w:r>
            <w:r w:rsidRPr="00433402">
              <w:rPr>
                <w:rFonts w:ascii="Tahoma" w:hAnsi="Tahoma" w:cs="Tahoma"/>
                <w:b/>
                <w:bCs/>
                <w:sz w:val="21"/>
              </w:rPr>
              <w:t>Soncem</w:t>
            </w:r>
            <w:r w:rsidRPr="00433402">
              <w:rPr>
                <w:rFonts w:ascii="Tahoma" w:hAnsi="Tahoma" w:cs="Tahoma"/>
                <w:sz w:val="21"/>
                <w:szCs w:val="21"/>
              </w:rPr>
              <w:t>. Opoldne je Sonce najvišje na obzorju, senca je takrat najkrajša in kaže točno proti severu.</w:t>
            </w:r>
          </w:p>
          <w:p w:rsidR="00433402" w:rsidRPr="00433402" w:rsidRDefault="00433402" w:rsidP="00007583">
            <w:pPr>
              <w:rPr>
                <w:rFonts w:ascii="Tahoma" w:hAnsi="Tahoma" w:cs="Tahoma"/>
                <w:sz w:val="21"/>
                <w:szCs w:val="21"/>
              </w:rPr>
            </w:pPr>
            <w:r w:rsidRPr="00433402">
              <w:rPr>
                <w:rFonts w:ascii="Tahoma" w:hAnsi="Tahoma" w:cs="Tahoma"/>
                <w:sz w:val="21"/>
                <w:szCs w:val="21"/>
              </w:rPr>
              <w:br/>
              <w:t xml:space="preserve">Po Soncu se lahko orientiramo tudi s pomočjo </w:t>
            </w:r>
            <w:r w:rsidRPr="00433402">
              <w:rPr>
                <w:rFonts w:ascii="Tahoma" w:hAnsi="Tahoma" w:cs="Tahoma"/>
                <w:b/>
                <w:bCs/>
                <w:sz w:val="21"/>
              </w:rPr>
              <w:t>ročne ure s kazalci</w:t>
            </w:r>
            <w:r w:rsidRPr="00433402">
              <w:rPr>
                <w:rFonts w:ascii="Tahoma" w:hAnsi="Tahoma" w:cs="Tahoma"/>
                <w:sz w:val="21"/>
                <w:szCs w:val="21"/>
              </w:rPr>
              <w:t>. Uro držimo vodoravno in jo obračamo tako dolgo, da nam mali urni kazalec kaže točno proti Soncu. Kot med malim urnim kazalcem in številko 12 razpolovimo. Dobljena smer kaže proti jugu.</w:t>
            </w:r>
            <w:r w:rsidRPr="00433402">
              <w:rPr>
                <w:rFonts w:ascii="Tahoma" w:hAnsi="Tahoma" w:cs="Tahoma"/>
                <w:sz w:val="21"/>
                <w:szCs w:val="21"/>
              </w:rPr>
              <w:br/>
            </w:r>
            <w:r w:rsidRPr="00433402">
              <w:rPr>
                <w:rFonts w:ascii="Tahoma" w:hAnsi="Tahoma" w:cs="Tahoma"/>
                <w:sz w:val="21"/>
                <w:szCs w:val="21"/>
              </w:rPr>
              <w:br/>
              <w:t xml:space="preserve">Ponoči se je najlažje orientirati po zvezdi Severnici. Smer proti Severnici kaže na sever. </w:t>
            </w:r>
            <w:r w:rsidRPr="00433402">
              <w:rPr>
                <w:rFonts w:ascii="Tahoma" w:hAnsi="Tahoma" w:cs="Tahoma"/>
                <w:sz w:val="21"/>
                <w:szCs w:val="21"/>
              </w:rPr>
              <w:br/>
              <w:t>Manj zanesljivi načini za določanje strani neba so še:</w:t>
            </w:r>
          </w:p>
          <w:p w:rsidR="00433402" w:rsidRPr="00433402" w:rsidRDefault="00433402" w:rsidP="00433402">
            <w:pPr>
              <w:numPr>
                <w:ilvl w:val="0"/>
                <w:numId w:val="2"/>
              </w:numPr>
              <w:spacing w:before="100" w:beforeAutospacing="1" w:after="100" w:afterAutospacing="1" w:line="240" w:lineRule="auto"/>
              <w:rPr>
                <w:rFonts w:ascii="Tahoma" w:hAnsi="Tahoma" w:cs="Tahoma"/>
                <w:sz w:val="21"/>
                <w:szCs w:val="21"/>
              </w:rPr>
            </w:pPr>
            <w:r w:rsidRPr="00433402">
              <w:rPr>
                <w:rFonts w:ascii="Tahoma" w:hAnsi="Tahoma" w:cs="Tahoma"/>
                <w:sz w:val="21"/>
                <w:szCs w:val="21"/>
              </w:rPr>
              <w:t>drevesna debla so na severni strani bolj porasla z mahom,</w:t>
            </w:r>
          </w:p>
          <w:p w:rsidR="00433402" w:rsidRPr="00433402" w:rsidRDefault="00433402" w:rsidP="00433402">
            <w:pPr>
              <w:numPr>
                <w:ilvl w:val="0"/>
                <w:numId w:val="2"/>
              </w:numPr>
              <w:spacing w:before="100" w:beforeAutospacing="1" w:after="100" w:afterAutospacing="1" w:line="240" w:lineRule="auto"/>
              <w:rPr>
                <w:rFonts w:ascii="Tahoma" w:hAnsi="Tahoma" w:cs="Tahoma"/>
                <w:sz w:val="21"/>
                <w:szCs w:val="21"/>
              </w:rPr>
            </w:pPr>
            <w:r w:rsidRPr="00433402">
              <w:rPr>
                <w:rFonts w:ascii="Tahoma" w:hAnsi="Tahoma" w:cs="Tahoma"/>
                <w:sz w:val="21"/>
                <w:szCs w:val="21"/>
              </w:rPr>
              <w:t>razmiki med letnicami na štorih so proti severu manjši kot proti jugu,</w:t>
            </w:r>
          </w:p>
          <w:p w:rsidR="00433402" w:rsidRPr="00433402" w:rsidRDefault="00433402" w:rsidP="00433402">
            <w:pPr>
              <w:numPr>
                <w:ilvl w:val="0"/>
                <w:numId w:val="2"/>
              </w:numPr>
              <w:spacing w:before="100" w:beforeAutospacing="1" w:after="100" w:afterAutospacing="1" w:line="240" w:lineRule="auto"/>
              <w:rPr>
                <w:rFonts w:ascii="Tahoma" w:hAnsi="Tahoma" w:cs="Tahoma"/>
                <w:sz w:val="21"/>
                <w:szCs w:val="21"/>
              </w:rPr>
            </w:pPr>
            <w:r w:rsidRPr="00433402">
              <w:rPr>
                <w:rFonts w:ascii="Tahoma" w:hAnsi="Tahoma" w:cs="Tahoma"/>
                <w:sz w:val="21"/>
                <w:szCs w:val="21"/>
              </w:rPr>
              <w:t>drevesne krošnje so proti jugu bujnejše,</w:t>
            </w:r>
          </w:p>
          <w:p w:rsidR="00433402" w:rsidRPr="00433402" w:rsidRDefault="00433402" w:rsidP="00433402">
            <w:pPr>
              <w:numPr>
                <w:ilvl w:val="0"/>
                <w:numId w:val="2"/>
              </w:numPr>
              <w:spacing w:before="100" w:beforeAutospacing="1" w:after="100" w:afterAutospacing="1" w:line="240" w:lineRule="auto"/>
              <w:rPr>
                <w:rFonts w:ascii="Tahoma" w:hAnsi="Tahoma" w:cs="Tahoma"/>
                <w:sz w:val="21"/>
                <w:szCs w:val="21"/>
              </w:rPr>
            </w:pPr>
            <w:r w:rsidRPr="00433402">
              <w:rPr>
                <w:rFonts w:ascii="Tahoma" w:hAnsi="Tahoma" w:cs="Tahoma"/>
                <w:sz w:val="21"/>
                <w:szCs w:val="21"/>
              </w:rPr>
              <w:t>pobočja mravljišč so proti jugu položnejša, saj tako prejmejo več toplote.</w:t>
            </w:r>
          </w:p>
        </w:tc>
        <w:tc>
          <w:tcPr>
            <w:tcW w:w="0" w:type="auto"/>
            <w:hideMark/>
          </w:tcPr>
          <w:tbl>
            <w:tblPr>
              <w:tblW w:w="0" w:type="auto"/>
              <w:jc w:val="center"/>
              <w:tblCellSpacing w:w="15" w:type="dxa"/>
              <w:tblCellMar>
                <w:left w:w="0" w:type="dxa"/>
                <w:right w:w="0" w:type="dxa"/>
              </w:tblCellMar>
              <w:tblLook w:val="04A0" w:firstRow="1" w:lastRow="0" w:firstColumn="1" w:lastColumn="0" w:noHBand="0" w:noVBand="1"/>
            </w:tblPr>
            <w:tblGrid>
              <w:gridCol w:w="186"/>
            </w:tblGrid>
            <w:tr w:rsidR="00433402" w:rsidRPr="00433402" w:rsidTr="00007583">
              <w:trPr>
                <w:tblCellSpacing w:w="15" w:type="dxa"/>
                <w:jc w:val="center"/>
              </w:trPr>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33402" w:rsidRPr="00433402" w:rsidTr="00007583">
                    <w:trPr>
                      <w:tblCellSpacing w:w="15" w:type="dxa"/>
                    </w:trPr>
                    <w:tc>
                      <w:tcPr>
                        <w:tcW w:w="0" w:type="auto"/>
                        <w:vAlign w:val="center"/>
                        <w:hideMark/>
                      </w:tcPr>
                      <w:p w:rsidR="00433402" w:rsidRPr="00433402" w:rsidRDefault="00433402" w:rsidP="00007583">
                        <w:pPr>
                          <w:jc w:val="center"/>
                          <w:rPr>
                            <w:rFonts w:ascii="Tahoma" w:hAnsi="Tahoma" w:cs="Tahoma"/>
                            <w:sz w:val="21"/>
                            <w:szCs w:val="21"/>
                          </w:rPr>
                        </w:pPr>
                      </w:p>
                    </w:tc>
                  </w:tr>
                </w:tbl>
                <w:p w:rsidR="00433402" w:rsidRPr="00433402" w:rsidRDefault="00433402" w:rsidP="00007583">
                  <w:pPr>
                    <w:rPr>
                      <w:rFonts w:ascii="Tahoma" w:hAnsi="Tahoma" w:cs="Tahoma"/>
                      <w:sz w:val="21"/>
                      <w:szCs w:val="21"/>
                    </w:rPr>
                  </w:pPr>
                </w:p>
              </w:tc>
            </w:tr>
          </w:tbl>
          <w:p w:rsidR="00433402" w:rsidRPr="00433402" w:rsidRDefault="00433402" w:rsidP="00007583">
            <w:pPr>
              <w:jc w:val="center"/>
              <w:rPr>
                <w:rFonts w:ascii="Tahoma" w:hAnsi="Tahoma" w:cs="Tahoma"/>
                <w:sz w:val="21"/>
                <w:szCs w:val="21"/>
              </w:rPr>
            </w:pPr>
          </w:p>
        </w:tc>
      </w:tr>
    </w:tbl>
    <w:p w:rsidR="00433402" w:rsidRDefault="00433402" w:rsidP="00FC5BE7"/>
    <w:p w:rsidR="00FC5BE7" w:rsidRDefault="00FC5BE7" w:rsidP="00FC5BE7"/>
    <w:p w:rsidR="00FC5BE7" w:rsidRDefault="00FC5BE7" w:rsidP="00FC5BE7"/>
    <w:p w:rsidR="00FC5BE7" w:rsidRDefault="00FC5BE7" w:rsidP="00FC5BE7"/>
    <w:p w:rsidR="00FC5BE7" w:rsidRDefault="00FC5BE7" w:rsidP="00FC5BE7"/>
    <w:p w:rsidR="00FC5BE7" w:rsidRDefault="00FC5BE7" w:rsidP="00FC5BE7"/>
    <w:p w:rsidR="00FC5BE7" w:rsidRDefault="00FC5BE7" w:rsidP="00FC5BE7"/>
    <w:p w:rsidR="00FC5BE7" w:rsidRDefault="00FC5BE7" w:rsidP="00FC5BE7"/>
    <w:p w:rsidR="00FC5BE7" w:rsidRDefault="00FC5BE7" w:rsidP="00FC5BE7"/>
    <w:p w:rsidR="00FC5BE7" w:rsidRDefault="00FC5BE7" w:rsidP="00FC5BE7"/>
    <w:p w:rsidR="00FC5BE7" w:rsidRDefault="00FC5BE7" w:rsidP="00FC5BE7"/>
    <w:p w:rsidR="00FC5BE7" w:rsidRDefault="00FC5BE7" w:rsidP="00FC5BE7"/>
    <w:p w:rsidR="00FC5BE7" w:rsidRDefault="00FC5BE7" w:rsidP="00FC5BE7"/>
    <w:p w:rsidR="00FC5BE7" w:rsidRDefault="00FC5BE7" w:rsidP="00FC5BE7"/>
    <w:p w:rsidR="00FC5BE7" w:rsidRDefault="00FC5BE7" w:rsidP="00FC5BE7"/>
    <w:p w:rsidR="00FC5BE7" w:rsidRDefault="00FC5BE7" w:rsidP="00FC5BE7"/>
    <w:p w:rsidR="00FC5BE7" w:rsidRPr="00FC5BE7" w:rsidRDefault="00FC5BE7" w:rsidP="00FC5BE7">
      <w:pPr>
        <w:rPr>
          <w:i/>
          <w:iCs/>
        </w:rPr>
      </w:pPr>
      <w:r w:rsidRPr="00FC5BE7">
        <w:rPr>
          <w:i/>
          <w:iCs/>
        </w:rPr>
        <w:lastRenderedPageBreak/>
        <w:t xml:space="preserve">Priloga </w:t>
      </w:r>
      <w:r w:rsidRPr="00FC5BE7">
        <w:rPr>
          <w:i/>
          <w:iCs/>
          <w:noProof/>
        </w:rPr>
        <w:drawing>
          <wp:anchor distT="0" distB="0" distL="114300" distR="114300" simplePos="0" relativeHeight="251659264" behindDoc="1" locked="0" layoutInCell="1" allowOverlap="1">
            <wp:simplePos x="0" y="0"/>
            <wp:positionH relativeFrom="column">
              <wp:posOffset>2971800</wp:posOffset>
            </wp:positionH>
            <wp:positionV relativeFrom="paragraph">
              <wp:posOffset>53340</wp:posOffset>
            </wp:positionV>
            <wp:extent cx="2265045" cy="1754505"/>
            <wp:effectExtent l="0" t="0" r="1905" b="0"/>
            <wp:wrapTight wrapText="bothSides">
              <wp:wrapPolygon edited="0">
                <wp:start x="0" y="0"/>
                <wp:lineTo x="0" y="21342"/>
                <wp:lineTo x="21437" y="21342"/>
                <wp:lineTo x="21437" y="0"/>
                <wp:lineTo x="0" y="0"/>
              </wp:wrapPolygon>
            </wp:wrapTight>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5045" cy="1754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5BE7">
        <w:rPr>
          <w:i/>
          <w:iCs/>
        </w:rPr>
        <w:t>2</w:t>
      </w:r>
    </w:p>
    <w:p w:rsidR="00FC5BE7" w:rsidRPr="00D26A08" w:rsidRDefault="00FC5BE7" w:rsidP="00FC5BE7">
      <w:pPr>
        <w:rPr>
          <w:b/>
          <w:bCs/>
          <w:color w:val="FF0000"/>
        </w:rPr>
      </w:pPr>
      <w:r w:rsidRPr="00D26A08">
        <w:rPr>
          <w:b/>
          <w:bCs/>
          <w:color w:val="FF0000"/>
        </w:rPr>
        <w:t>IZDELAVA KOMPASA</w:t>
      </w:r>
    </w:p>
    <w:p w:rsidR="00FC5BE7" w:rsidRDefault="00FC5BE7" w:rsidP="00FC5BE7"/>
    <w:p w:rsidR="00FC5BE7" w:rsidRDefault="00FC5BE7" w:rsidP="00FC5BE7">
      <w:r>
        <w:t xml:space="preserve">Potrebujemo: večjo posodo                                       </w:t>
      </w:r>
    </w:p>
    <w:p w:rsidR="00FC5BE7" w:rsidRDefault="00FC5BE7" w:rsidP="00FC5BE7">
      <w:r>
        <w:t xml:space="preserve">                      Plutovinast zamašek</w:t>
      </w:r>
    </w:p>
    <w:p w:rsidR="00FC5BE7" w:rsidRDefault="00FC5BE7" w:rsidP="00FC5BE7">
      <w:r>
        <w:t xml:space="preserve">                      Šivanko</w:t>
      </w:r>
    </w:p>
    <w:p w:rsidR="00FC5BE7" w:rsidRDefault="00FC5BE7" w:rsidP="00FC5BE7">
      <w:r>
        <w:t xml:space="preserve">                      Magnet</w:t>
      </w:r>
    </w:p>
    <w:p w:rsidR="00FC5BE7" w:rsidRDefault="00FC5BE7" w:rsidP="00FC5BE7"/>
    <w:p w:rsidR="00FC5BE7" w:rsidRDefault="00FC5BE7" w:rsidP="00FC5BE7">
      <w:r>
        <w:t xml:space="preserve">1. Odrežemo približno </w:t>
      </w:r>
      <w:smartTag w:uri="urn:schemas-microsoft-com:office:smarttags" w:element="metricconverter">
        <w:smartTagPr>
          <w:attr w:name="ProductID" w:val="5 mm"/>
        </w:smartTagPr>
        <w:r>
          <w:t>5 mm</w:t>
        </w:r>
      </w:smartTag>
      <w:r>
        <w:t xml:space="preserve"> zamaška.</w:t>
      </w:r>
    </w:p>
    <w:p w:rsidR="00FC5BE7" w:rsidRDefault="00FC5BE7" w:rsidP="00FC5BE7">
      <w:r>
        <w:t>2. V lonček nalijemo vodo.</w:t>
      </w:r>
    </w:p>
    <w:p w:rsidR="00FC5BE7" w:rsidRDefault="00FC5BE7" w:rsidP="00FC5BE7">
      <w:r>
        <w:t>3. Odrezani del zamaška položimo na gladino vode.</w:t>
      </w:r>
    </w:p>
    <w:p w:rsidR="00FC5BE7" w:rsidRDefault="00FC5BE7" w:rsidP="00FC5BE7">
      <w:r>
        <w:t>4. Z magnetom nekajkrat potegnemo po šivanki in jo položimo na plavajoči zamašek.</w:t>
      </w:r>
    </w:p>
    <w:p w:rsidR="00FC5BE7" w:rsidRDefault="00FC5BE7" w:rsidP="00FC5BE7">
      <w:r>
        <w:t xml:space="preserve">5. Šivanka kaže smer sever – jug. </w:t>
      </w:r>
    </w:p>
    <w:p w:rsidR="00FC5BE7" w:rsidRDefault="00FC5BE7" w:rsidP="00FC5BE7"/>
    <w:p w:rsidR="00FC5BE7" w:rsidRDefault="00FC5BE7" w:rsidP="00FC5BE7"/>
    <w:p w:rsidR="00FC5BE7" w:rsidRDefault="00FC5BE7" w:rsidP="00FC5BE7">
      <w:r>
        <w:rPr>
          <w:noProof/>
        </w:rPr>
        <w:drawing>
          <wp:inline distT="0" distB="0" distL="0" distR="0">
            <wp:extent cx="5362575" cy="3362325"/>
            <wp:effectExtent l="0" t="0" r="9525" b="9525"/>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2575" cy="3362325"/>
                    </a:xfrm>
                    <a:prstGeom prst="rect">
                      <a:avLst/>
                    </a:prstGeom>
                    <a:noFill/>
                    <a:ln>
                      <a:noFill/>
                    </a:ln>
                  </pic:spPr>
                </pic:pic>
              </a:graphicData>
            </a:graphic>
          </wp:inline>
        </w:drawing>
      </w:r>
    </w:p>
    <w:p w:rsidR="00FC5BE7" w:rsidRDefault="00FC5BE7" w:rsidP="00FC5BE7"/>
    <w:sectPr w:rsidR="00FC5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65B82"/>
    <w:multiLevelType w:val="hybridMultilevel"/>
    <w:tmpl w:val="200A9B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31ED1678"/>
    <w:multiLevelType w:val="multilevel"/>
    <w:tmpl w:val="7ED0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DF9"/>
    <w:rsid w:val="00062080"/>
    <w:rsid w:val="00433402"/>
    <w:rsid w:val="006446B4"/>
    <w:rsid w:val="00714B5F"/>
    <w:rsid w:val="00AC4DF9"/>
    <w:rsid w:val="00C64BD6"/>
    <w:rsid w:val="00FC5BE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F353F53"/>
  <w15:chartTrackingRefBased/>
  <w15:docId w15:val="{039B636B-2901-471B-A510-D5DA42C8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C4DF9"/>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C4DF9"/>
    <w:pPr>
      <w:ind w:left="720"/>
      <w:contextualSpacing/>
    </w:pPr>
  </w:style>
  <w:style w:type="character" w:styleId="Hiperpovezava">
    <w:name w:val="Hyperlink"/>
    <w:basedOn w:val="Privzetapisavaodstavka"/>
    <w:uiPriority w:val="99"/>
    <w:semiHidden/>
    <w:unhideWhenUsed/>
    <w:rsid w:val="00AC4D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feature=youtu.be&amp;v=FzfZU26v4BQ&amp;app=desktop" TargetMode="External"/><Relationship Id="rId5" Type="http://schemas.openxmlformats.org/officeDocument/2006/relationships/hyperlink" Target="https://www.youtube.com/watch?v=XmK3l1tcUj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473</Words>
  <Characters>2697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dcterms:created xsi:type="dcterms:W3CDTF">2020-04-06T16:13:00Z</dcterms:created>
  <dcterms:modified xsi:type="dcterms:W3CDTF">2020-04-07T10:55:00Z</dcterms:modified>
</cp:coreProperties>
</file>